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ttf" ContentType="application/x-font-ttf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sz w:val="40"/>
          <w:szCs w:val="40"/>
          <w:rtl w:val="0"/>
        </w:rPr>
        <w:t xml:space="preserve">Contents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Folder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sz w:val="20"/>
          <w:szCs w:val="20"/>
          <w:rtl w:val="0"/>
        </w:rPr>
        <w:t xml:space="preserve">Policy Documents: the Portsmouth Hospitals Nutrition Policy, Portsmouth Hospitals Uniform Policy and the HSDC T Level Uniform policy based upon this.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sz w:val="20"/>
          <w:szCs w:val="20"/>
          <w:u w:val="none"/>
        </w:rPr>
      </w:pPr>
      <w:r w:rsidDel="00000000" w:rsidR="00000000" w:rsidRPr="00000000">
        <w:rPr>
          <w:sz w:val="20"/>
          <w:szCs w:val="20"/>
          <w:rtl w:val="0"/>
        </w:rPr>
        <w:t xml:space="preserve">Post Operative Care: Patient Information post surgery and linked lesson resources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sz w:val="20"/>
          <w:szCs w:val="20"/>
          <w:u w:val="none"/>
        </w:rPr>
      </w:pPr>
      <w:r w:rsidDel="00000000" w:rsidR="00000000" w:rsidRPr="00000000">
        <w:rPr>
          <w:sz w:val="20"/>
          <w:szCs w:val="20"/>
          <w:rtl w:val="0"/>
        </w:rPr>
        <w:t xml:space="preserve">Vital Signs: NEWS template and scoring system, Portsmouth ViEWS Vital Signs chart. Associated lesson resources and Evaluation Sheet.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sz w:val="20"/>
          <w:szCs w:val="20"/>
          <w:u w:val="none"/>
        </w:rPr>
      </w:pPr>
      <w:r w:rsidDel="00000000" w:rsidR="00000000" w:rsidRPr="00000000">
        <w:rPr>
          <w:sz w:val="20"/>
          <w:szCs w:val="20"/>
          <w:rtl w:val="0"/>
        </w:rPr>
        <w:t xml:space="preserve">Maternity Resources: A selection of forms used by Maternity departments to include admission records, ultrasound records, birth records and MEWS score charts.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960"/>
        </w:tabs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</w:r>
    </w:p>
    <w:sectPr>
      <w:headerReference r:id="rId6" w:type="first"/>
      <w:footerReference r:id="rId7" w:type="default"/>
      <w:footerReference r:id="rId8" w:type="first"/>
      <w:pgSz w:h="16838" w:w="11906" w:orient="portrait"/>
      <w:pgMar w:bottom="1134" w:top="709" w:left="851" w:right="851" w:header="0" w:footer="709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Amatic SC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3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18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12"/>
        <w:szCs w:val="1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2"/>
        <w:szCs w:val="12"/>
        <w:u w:val="none"/>
        <w:shd w:fill="auto" w:val="clear"/>
        <w:vertAlign w:val="baseline"/>
        <w:rtl w:val="0"/>
      </w:rPr>
      <w:t xml:space="preserve">The Education and Training Foundation is a registered charity in England and Wales (charity number 1153859) and a company limited by guarantee, registered in England and Wales (company number 08540597). ETF Services is a company registered in England and Wales (company number 9511877), and a wholly owned subsidiary of the Education and Training Foundation. Registered address: 157 -197 Buckingham Palace Road, London SW1W 9SP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4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18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12"/>
        <w:szCs w:val="1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2"/>
        <w:szCs w:val="12"/>
        <w:u w:val="none"/>
        <w:shd w:fill="auto" w:val="clear"/>
        <w:vertAlign w:val="baseline"/>
        <w:rtl w:val="0"/>
      </w:rPr>
      <w:t xml:space="preserve">The Education and Training Foundation is a registered charity in England and Wales (charity number 1153859) and a company limited by guarantee, registered in England and Wales (company number 08540597). ETF Services is a company registered in England and Wales (company number 9511877), and a wholly owned subsidiary of the Education and Training Foundation. Registered address: 157 -197 Buckingham Palace Road, London SW1W 9SP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B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C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5102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anchor allowOverlap="1" behindDoc="0" distB="0" distT="0" distL="0" distR="0" hidden="0" layoutInCell="1" locked="0" relativeHeight="0" simplePos="0">
          <wp:simplePos x="0" y="0"/>
          <wp:positionH relativeFrom="margin">
            <wp:align>left</wp:align>
          </wp:positionH>
          <wp:positionV relativeFrom="page">
            <wp:posOffset>691515</wp:posOffset>
          </wp:positionV>
          <wp:extent cx="1591310" cy="845820"/>
          <wp:effectExtent b="0" l="0" r="0" t="0"/>
          <wp:wrapNone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591310" cy="84582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                                                                                                     </w:t>
      <w:tab/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3728084</wp:posOffset>
          </wp:positionH>
          <wp:positionV relativeFrom="paragraph">
            <wp:posOffset>5080</wp:posOffset>
          </wp:positionV>
          <wp:extent cx="2751455" cy="899160"/>
          <wp:effectExtent b="0" l="0" r="0" t="0"/>
          <wp:wrapNone/>
          <wp:docPr id="2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751455" cy="89916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2D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                                                                                                                                </w:t>
    </w:r>
  </w:p>
  <w:p w:rsidR="00000000" w:rsidDel="00000000" w:rsidP="00000000" w:rsidRDefault="00000000" w:rsidRPr="00000000" w14:paraId="0000002E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F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left" w:pos="194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ab/>
    </w:r>
  </w:p>
  <w:p w:rsidR="00000000" w:rsidDel="00000000" w:rsidP="00000000" w:rsidRDefault="00000000" w:rsidRPr="00000000" w14:paraId="00000030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1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2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left" w:pos="122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-GB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60" w:line="240" w:lineRule="auto"/>
      <w:ind w:left="0" w:right="0" w:firstLine="0"/>
      <w:jc w:val="left"/>
    </w:pPr>
    <w:rPr>
      <w:rFonts w:ascii="Amatic SC" w:cs="Amatic SC" w:eastAsia="Amatic SC" w:hAnsi="Amatic SC"/>
      <w:b w:val="0"/>
      <w:i w:val="0"/>
      <w:smallCaps w:val="0"/>
      <w:strike w:val="0"/>
      <w:color w:val="ffffff"/>
      <w:sz w:val="52"/>
      <w:szCs w:val="5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200" w:line="240" w:lineRule="auto"/>
      <w:ind w:left="0" w:right="0" w:firstLine="0"/>
      <w:jc w:val="left"/>
    </w:pPr>
    <w:rPr>
      <w:rFonts w:ascii="Arial" w:cs="Arial" w:eastAsia="Arial" w:hAnsi="Arial"/>
      <w:b w:val="1"/>
      <w:i w:val="0"/>
      <w:smallCaps w:val="0"/>
      <w:strike w:val="0"/>
      <w:color w:val="00a068"/>
      <w:sz w:val="26"/>
      <w:szCs w:val="2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200" w:line="240" w:lineRule="auto"/>
      <w:ind w:left="0" w:right="0" w:firstLine="0"/>
      <w:jc w:val="left"/>
    </w:pPr>
    <w:rPr>
      <w:rFonts w:ascii="Arial" w:cs="Arial" w:eastAsia="Arial" w:hAnsi="Arial"/>
      <w:b w:val="1"/>
      <w:i w:val="0"/>
      <w:smallCaps w:val="0"/>
      <w:strike w:val="0"/>
      <w:color w:val="00a068"/>
      <w:sz w:val="22"/>
      <w:szCs w:val="22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200" w:line="240" w:lineRule="auto"/>
      <w:ind w:left="0" w:right="0" w:firstLine="0"/>
      <w:jc w:val="left"/>
    </w:pPr>
    <w:rPr>
      <w:rFonts w:ascii="Arial" w:cs="Arial" w:eastAsia="Arial" w:hAnsi="Arial"/>
      <w:b w:val="1"/>
      <w:i w:val="1"/>
      <w:smallCaps w:val="0"/>
      <w:strike w:val="0"/>
      <w:color w:val="00a068"/>
      <w:sz w:val="22"/>
      <w:szCs w:val="22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200" w:line="240" w:lineRule="auto"/>
      <w:ind w:left="0" w:right="0" w:firstLine="0"/>
      <w:jc w:val="left"/>
    </w:pPr>
    <w:rPr>
      <w:rFonts w:ascii="Arial" w:cs="Arial" w:eastAsia="Arial" w:hAnsi="Arial"/>
      <w:b w:val="0"/>
      <w:i w:val="0"/>
      <w:smallCaps w:val="0"/>
      <w:strike w:val="0"/>
      <w:color w:val="004f33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200" w:line="240" w:lineRule="auto"/>
      <w:ind w:left="0" w:right="0" w:firstLine="0"/>
      <w:jc w:val="left"/>
    </w:pPr>
    <w:rPr>
      <w:rFonts w:ascii="Arial" w:cs="Arial" w:eastAsia="Arial" w:hAnsi="Arial"/>
      <w:b w:val="0"/>
      <w:i w:val="1"/>
      <w:smallCaps w:val="0"/>
      <w:strike w:val="0"/>
      <w:color w:val="004f33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fontTable" Target="fontTable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header" Target="header1.xml"/><Relationship Id="rId11" Type="http://schemas.openxmlformats.org/officeDocument/2006/relationships/customXml" Target="../customXml/item3.xml"/><Relationship Id="rId5" Type="http://schemas.openxmlformats.org/officeDocument/2006/relationships/styles" Target="styles.xml"/><Relationship Id="rId10" Type="http://schemas.openxmlformats.org/officeDocument/2006/relationships/customXml" Target="../customXml/item2.xml"/><Relationship Id="rId4" Type="http://schemas.openxmlformats.org/officeDocument/2006/relationships/numbering" Target="numbering.xml"/><Relationship Id="rId9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maticSC-regular.ttf"/><Relationship Id="rId2" Type="http://schemas.openxmlformats.org/officeDocument/2006/relationships/font" Target="fonts/AmaticSC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cf144-4eb2-4910-9a88-c8d0ce72bbfd">
      <Terms xmlns="http://schemas.microsoft.com/office/infopath/2007/PartnerControls"/>
    </lcf76f155ced4ddcb4097134ff3c332f>
    <TaxCatchAll xmlns="a75230e0-234e-44fc-a46b-fcfdfca8ad4b" xsi:nil="true"/>
  </documentManagement>
</p:properties>
</file>

<file path=customXml/itemProps1.xml><?xml version="1.0" encoding="utf-8"?>
<ds:datastoreItem xmlns:ds="http://schemas.openxmlformats.org/officeDocument/2006/customXml" ds:itemID="{CB56619A-CACE-4792-A43C-261823B0A39B}"/>
</file>

<file path=customXml/itemProps2.xml><?xml version="1.0" encoding="utf-8"?>
<ds:datastoreItem xmlns:ds="http://schemas.openxmlformats.org/officeDocument/2006/customXml" ds:itemID="{0EDD497A-D5F2-4198-A52A-192EBA48F194}"/>
</file>

<file path=customXml/itemProps3.xml><?xml version="1.0" encoding="utf-8"?>
<ds:datastoreItem xmlns:ds="http://schemas.openxmlformats.org/officeDocument/2006/customXml" ds:itemID="{B27B9414-1266-44FB-9B17-13D663BF1AD6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  <property fmtid="{D5CDD505-2E9C-101B-9397-08002B2CF9AE}" pid="3" name="MediaServiceImageTags">
    <vt:lpwstr/>
  </property>
</Properties>
</file>